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-704215</wp:posOffset>
                </wp:positionH>
                <wp:positionV relativeFrom="paragraph">
                  <wp:posOffset>-323850</wp:posOffset>
                </wp:positionV>
                <wp:extent cx="7359650" cy="861695"/>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7359650" cy="8616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bidi w:val="0"/>
                              <w:jc w:val="center"/>
                              <w:rPr>
                                <w:rFonts w:hint="eastAsia" w:asciiTheme="majorEastAsia" w:hAnsiTheme="majorEastAsia" w:eastAsiaTheme="majorEastAsia" w:cstheme="majorEastAsia"/>
                                <w:b/>
                                <w:bCs/>
                                <w:color w:val="000000" w:themeColor="text1"/>
                                <w:sz w:val="36"/>
                                <w:szCs w:val="36"/>
                                <w:u w:val="single"/>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u w:val="single"/>
                                <w:lang w:eastAsia="zh-CN"/>
                                <w14:shadow w14:blurRad="38100" w14:dist="19050" w14:dir="2700000" w14:sx="100000" w14:sy="100000" w14:kx="0" w14:ky="0" w14:algn="tl">
                                  <w14:schemeClr w14:val="dk1">
                                    <w14:alpha w14:val="60000"/>
                                  </w14:schemeClr>
                                </w14:shadow>
                                <w14:textFill>
                                  <w14:solidFill>
                                    <w14:schemeClr w14:val="tx1"/>
                                  </w14:solidFill>
                                </w14:textFill>
                              </w:rPr>
                              <w:t>吉林省龙家堡矿业有限责任公司环境信息公开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45pt;margin-top:-25.5pt;height:67.85pt;width:579.5pt;mso-wrap-distance-bottom:0pt;mso-wrap-distance-left:9pt;mso-wrap-distance-right:9pt;mso-wrap-distance-top:0pt;z-index:251658240;mso-width-relative:page;mso-height-relative:page;" filled="f" stroked="f" coordsize="21600,21600" o:gfxdata="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">
                <v:fill on="f" focussize="0,0"/>
                <v:stroke on="f" weight="0.5pt"/>
                <v:imagedata o:title=""/>
                <o:lock v:ext="edit" aspectratio="f"/>
                <v:textbox>
                  <w:txbxContent>
                    <w:p>
                      <w:pPr>
                        <w:pStyle w:val="3"/>
                        <w:bidi w:val="0"/>
                        <w:jc w:val="center"/>
                        <w:rPr>
                          <w:rFonts w:hint="eastAsia" w:asciiTheme="majorEastAsia" w:hAnsiTheme="majorEastAsia" w:eastAsiaTheme="majorEastAsia" w:cstheme="majorEastAsia"/>
                          <w:b/>
                          <w:bCs/>
                          <w:color w:val="000000" w:themeColor="text1"/>
                          <w:sz w:val="36"/>
                          <w:szCs w:val="36"/>
                          <w:u w:val="single"/>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u w:val="single"/>
                          <w:lang w:eastAsia="zh-CN"/>
                          <w14:shadow w14:blurRad="38100" w14:dist="19050" w14:dir="2700000" w14:sx="100000" w14:sy="100000" w14:kx="0" w14:ky="0" w14:algn="tl">
                            <w14:schemeClr w14:val="dk1">
                              <w14:alpha w14:val="60000"/>
                            </w14:schemeClr>
                          </w14:shadow>
                          <w14:textFill>
                            <w14:solidFill>
                              <w14:schemeClr w14:val="tx1"/>
                            </w14:solidFill>
                          </w14:textFill>
                        </w:rPr>
                        <w:t>吉林省龙家堡矿业有限责任公司环境信息公开</w:t>
                      </w:r>
                    </w:p>
                  </w:txbxContent>
                </v:textbox>
                <w10:wrap type="square"/>
              </v:shape>
            </w:pict>
          </mc:Fallback>
        </mc:AlternateContent>
      </w:r>
      <w:r>
        <w:rPr>
          <w:rFonts w:hint="eastAsia"/>
          <w:lang w:val="en-US" w:eastAsia="zh-CN"/>
        </w:rPr>
        <w:t xml:space="preserve">                                        作者：    发布时间：2020年11月12日</w:t>
      </w:r>
    </w:p>
    <w:p>
      <w:pPr>
        <w:numPr>
          <w:ilvl w:val="0"/>
          <w:numId w:val="1"/>
        </w:numPr>
        <w:rPr>
          <w:rFonts w:hint="eastAsia"/>
          <w:b w:val="0"/>
          <w:bCs w:val="0"/>
          <w:sz w:val="32"/>
          <w:szCs w:val="32"/>
          <w:lang w:val="en-US" w:eastAsia="zh-CN"/>
        </w:rPr>
      </w:pPr>
      <w:r>
        <w:rPr>
          <w:rFonts w:hint="eastAsia"/>
          <w:b w:val="0"/>
          <w:bCs w:val="0"/>
          <w:sz w:val="32"/>
          <w:szCs w:val="32"/>
          <w:lang w:val="en-US" w:eastAsia="zh-CN"/>
        </w:rPr>
        <w:t>基础信息</w:t>
      </w:r>
    </w:p>
    <w:p>
      <w:pPr>
        <w:numPr>
          <w:ilvl w:val="0"/>
          <w:numId w:val="0"/>
        </w:numPr>
        <w:rPr>
          <w:rFonts w:hint="eastAsia"/>
          <w:b w:val="0"/>
          <w:bCs w:val="0"/>
          <w:sz w:val="32"/>
          <w:szCs w:val="32"/>
          <w:lang w:val="en-US" w:eastAsia="zh-CN"/>
        </w:rPr>
      </w:pPr>
      <w:r>
        <w:rPr>
          <w:rFonts w:hint="eastAsia"/>
          <w:b w:val="0"/>
          <w:bCs w:val="0"/>
          <w:sz w:val="32"/>
          <w:szCs w:val="32"/>
          <w:lang w:val="en-US" w:eastAsia="zh-CN"/>
        </w:rPr>
        <w:t>单位名称：吉林省龙家堡矿业有限责任公司</w:t>
      </w:r>
    </w:p>
    <w:p>
      <w:pPr>
        <w:numPr>
          <w:ilvl w:val="0"/>
          <w:numId w:val="0"/>
        </w:numPr>
        <w:rPr>
          <w:rFonts w:hint="default"/>
          <w:b w:val="0"/>
          <w:bCs w:val="0"/>
          <w:sz w:val="32"/>
          <w:szCs w:val="32"/>
          <w:lang w:val="en-US" w:eastAsia="zh-CN"/>
        </w:rPr>
      </w:pPr>
      <w:r>
        <w:rPr>
          <w:rFonts w:hint="eastAsia"/>
          <w:b w:val="0"/>
          <w:bCs w:val="0"/>
          <w:sz w:val="32"/>
          <w:szCs w:val="32"/>
          <w:lang w:val="en-US" w:eastAsia="zh-CN"/>
        </w:rPr>
        <w:t>统一社会信用代码：912201817671857766</w:t>
      </w:r>
    </w:p>
    <w:p>
      <w:pPr>
        <w:numPr>
          <w:ilvl w:val="0"/>
          <w:numId w:val="0"/>
        </w:numPr>
        <w:rPr>
          <w:rFonts w:hint="eastAsia"/>
          <w:b w:val="0"/>
          <w:bCs w:val="0"/>
          <w:sz w:val="32"/>
          <w:szCs w:val="32"/>
          <w:lang w:val="en-US" w:eastAsia="zh-CN"/>
        </w:rPr>
      </w:pPr>
      <w:r>
        <w:rPr>
          <w:rFonts w:hint="eastAsia"/>
          <w:b w:val="0"/>
          <w:bCs w:val="0"/>
          <w:sz w:val="32"/>
          <w:szCs w:val="32"/>
          <w:lang w:val="en-US" w:eastAsia="zh-CN"/>
        </w:rPr>
        <w:t>法定代表人：曲世波</w:t>
      </w:r>
    </w:p>
    <w:p>
      <w:pPr>
        <w:numPr>
          <w:ilvl w:val="0"/>
          <w:numId w:val="0"/>
        </w:numPr>
        <w:rPr>
          <w:rFonts w:hint="default"/>
          <w:b w:val="0"/>
          <w:bCs w:val="0"/>
          <w:sz w:val="32"/>
          <w:szCs w:val="32"/>
          <w:lang w:val="en-US" w:eastAsia="zh-CN"/>
        </w:rPr>
      </w:pPr>
      <w:r>
        <w:rPr>
          <w:rFonts w:hint="eastAsia"/>
          <w:b w:val="0"/>
          <w:bCs w:val="0"/>
          <w:sz w:val="32"/>
          <w:szCs w:val="32"/>
          <w:lang w:val="en-US" w:eastAsia="zh-CN"/>
        </w:rPr>
        <w:t>地      址：吉林省长春市新区空港经济开发区兴港街道四家子村</w:t>
      </w:r>
    </w:p>
    <w:p>
      <w:pPr>
        <w:numPr>
          <w:ilvl w:val="0"/>
          <w:numId w:val="0"/>
        </w:numPr>
        <w:rPr>
          <w:rFonts w:hint="default"/>
          <w:b w:val="0"/>
          <w:bCs w:val="0"/>
          <w:sz w:val="32"/>
          <w:szCs w:val="32"/>
          <w:lang w:val="en-US" w:eastAsia="zh-CN"/>
        </w:rPr>
      </w:pPr>
      <w:r>
        <w:rPr>
          <w:rFonts w:hint="eastAsia"/>
          <w:b w:val="0"/>
          <w:bCs w:val="0"/>
          <w:sz w:val="32"/>
          <w:szCs w:val="32"/>
          <w:lang w:val="en-US" w:eastAsia="zh-CN"/>
        </w:rPr>
        <w:t>成 立 日期：2005年05月20日</w:t>
      </w:r>
    </w:p>
    <w:p>
      <w:pPr>
        <w:numPr>
          <w:ilvl w:val="0"/>
          <w:numId w:val="0"/>
        </w:numPr>
        <w:rPr>
          <w:rFonts w:hint="eastAsia"/>
          <w:b w:val="0"/>
          <w:bCs w:val="0"/>
          <w:sz w:val="32"/>
          <w:szCs w:val="32"/>
          <w:lang w:val="en-US" w:eastAsia="zh-CN"/>
        </w:rPr>
      </w:pPr>
      <w:r>
        <w:rPr>
          <w:rFonts w:hint="eastAsia"/>
          <w:b w:val="0"/>
          <w:bCs w:val="0"/>
          <w:sz w:val="32"/>
          <w:szCs w:val="32"/>
          <w:lang w:val="en-US" w:eastAsia="zh-CN"/>
        </w:rPr>
        <w:t>类      型：有限责任公司（非自然人投资或控股人独资）</w:t>
      </w:r>
    </w:p>
    <w:p>
      <w:pPr>
        <w:numPr>
          <w:ilvl w:val="0"/>
          <w:numId w:val="0"/>
        </w:numPr>
        <w:ind w:left="1920" w:hanging="1920" w:hangingChars="600"/>
        <w:rPr>
          <w:rFonts w:hint="eastAsia"/>
          <w:b w:val="0"/>
          <w:bCs w:val="0"/>
          <w:sz w:val="32"/>
          <w:szCs w:val="32"/>
          <w:lang w:val="en-US" w:eastAsia="zh-CN"/>
        </w:rPr>
      </w:pPr>
      <w:r>
        <w:rPr>
          <w:rFonts w:hint="eastAsia"/>
          <w:b w:val="0"/>
          <w:bCs w:val="0"/>
          <w:sz w:val="32"/>
          <w:szCs w:val="32"/>
          <w:lang w:val="en-US" w:eastAsia="zh-CN"/>
        </w:rPr>
        <w:t>注册  资本：伍仟万元整</w:t>
      </w:r>
    </w:p>
    <w:p>
      <w:pPr>
        <w:numPr>
          <w:ilvl w:val="0"/>
          <w:numId w:val="0"/>
        </w:numPr>
        <w:rPr>
          <w:rFonts w:hint="eastAsia"/>
          <w:b w:val="0"/>
          <w:bCs w:val="0"/>
          <w:sz w:val="32"/>
          <w:szCs w:val="32"/>
          <w:lang w:val="en-US" w:eastAsia="zh-CN"/>
        </w:rPr>
      </w:pPr>
      <w:r>
        <w:rPr>
          <w:rFonts w:hint="eastAsia"/>
          <w:b w:val="0"/>
          <w:bCs w:val="0"/>
          <w:sz w:val="32"/>
          <w:szCs w:val="32"/>
          <w:lang w:val="en-US" w:eastAsia="zh-CN"/>
        </w:rPr>
        <w:t>经 营 范围：煤炭开采、加工、销售、企业内专营铁路运输</w:t>
      </w:r>
    </w:p>
    <w:p>
      <w:pPr>
        <w:numPr>
          <w:ilvl w:val="0"/>
          <w:numId w:val="0"/>
        </w:numPr>
        <w:ind w:left="1920" w:hanging="1920" w:hangingChars="600"/>
        <w:rPr>
          <w:rFonts w:hint="default"/>
          <w:b w:val="0"/>
          <w:bCs w:val="0"/>
          <w:sz w:val="32"/>
          <w:szCs w:val="32"/>
          <w:lang w:val="en-US" w:eastAsia="zh-CN"/>
        </w:rPr>
      </w:pPr>
      <w:r>
        <w:rPr>
          <w:rFonts w:hint="eastAsia"/>
          <w:b w:val="0"/>
          <w:bCs w:val="0"/>
          <w:sz w:val="32"/>
          <w:szCs w:val="32"/>
          <w:lang w:val="en-US" w:eastAsia="zh-CN"/>
        </w:rPr>
        <w:t xml:space="preserve">           （按许可证核定的范围和期限经营）钢材、焦炭经营</w:t>
      </w:r>
    </w:p>
    <w:p>
      <w:pPr>
        <w:numPr>
          <w:ilvl w:val="0"/>
          <w:numId w:val="1"/>
        </w:numPr>
        <w:ind w:left="0" w:leftChars="0" w:firstLine="0" w:firstLineChars="0"/>
        <w:rPr>
          <w:rFonts w:hint="eastAsia"/>
          <w:b w:val="0"/>
          <w:bCs w:val="0"/>
          <w:sz w:val="32"/>
          <w:szCs w:val="32"/>
          <w:lang w:val="en-US" w:eastAsia="zh-CN"/>
        </w:rPr>
      </w:pPr>
      <w:r>
        <w:rPr>
          <w:rFonts w:hint="eastAsia"/>
          <w:b w:val="0"/>
          <w:bCs w:val="0"/>
          <w:sz w:val="32"/>
          <w:szCs w:val="32"/>
          <w:lang w:val="en-US" w:eastAsia="zh-CN"/>
        </w:rPr>
        <w:t>排污信息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污染物名称</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锅炉烟尘</w:t>
            </w:r>
          </w:p>
        </w:tc>
        <w:tc>
          <w:tcPr>
            <w:tcW w:w="1704" w:type="dxa"/>
          </w:tcPr>
          <w:p>
            <w:pPr>
              <w:numPr>
                <w:numId w:val="0"/>
              </w:numPr>
              <w:ind w:firstLine="360" w:firstLineChars="200"/>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NOX</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二氧化硫</w:t>
            </w:r>
          </w:p>
        </w:tc>
        <w:tc>
          <w:tcPr>
            <w:tcW w:w="1705" w:type="dxa"/>
          </w:tcPr>
          <w:p>
            <w:pPr>
              <w:numPr>
                <w:numId w:val="0"/>
              </w:numPr>
              <w:ind w:firstLine="360" w:firstLineChars="200"/>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排放方式</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经处理达标排放</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经处理达标排放</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经处理达标排放</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经处理达标排放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排放浓度</w:t>
            </w:r>
          </w:p>
        </w:tc>
        <w:tc>
          <w:tcPr>
            <w:tcW w:w="1704" w:type="dxa"/>
          </w:tcPr>
          <w:p>
            <w:pPr>
              <w:numPr>
                <w:numId w:val="0"/>
              </w:numPr>
              <w:jc w:val="center"/>
              <w:rPr>
                <w:rFonts w:hint="default"/>
                <w:b w:val="0"/>
                <w:bCs w:val="0"/>
                <w:sz w:val="18"/>
                <w:szCs w:val="18"/>
                <w:vertAlign w:val="superscript"/>
                <w:lang w:val="en-US" w:eastAsia="zh-CN"/>
              </w:rPr>
            </w:pPr>
            <w:r>
              <w:rPr>
                <w:rFonts w:hint="eastAsia"/>
                <w:b w:val="0"/>
                <w:bCs w:val="0"/>
                <w:sz w:val="18"/>
                <w:szCs w:val="18"/>
                <w:vertAlign w:val="baseline"/>
                <w:lang w:val="en-US" w:eastAsia="zh-CN"/>
              </w:rPr>
              <w:t>20.6mg/m</w:t>
            </w:r>
            <w:r>
              <w:rPr>
                <w:rFonts w:hint="eastAsia"/>
                <w:b w:val="0"/>
                <w:bCs w:val="0"/>
                <w:sz w:val="18"/>
                <w:szCs w:val="18"/>
                <w:vertAlign w:val="superscript"/>
                <w:lang w:val="en-US" w:eastAsia="zh-CN"/>
              </w:rPr>
              <w:t>3</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109mg/m</w:t>
            </w:r>
            <w:r>
              <w:rPr>
                <w:rFonts w:hint="eastAsia"/>
                <w:b w:val="0"/>
                <w:bCs w:val="0"/>
                <w:sz w:val="18"/>
                <w:szCs w:val="18"/>
                <w:vertAlign w:val="superscript"/>
                <w:lang w:val="en-US" w:eastAsia="zh-CN"/>
              </w:rPr>
              <w:t>3</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49mg/m</w:t>
            </w:r>
            <w:r>
              <w:rPr>
                <w:rFonts w:hint="eastAsia"/>
                <w:b w:val="0"/>
                <w:bCs w:val="0"/>
                <w:sz w:val="18"/>
                <w:szCs w:val="18"/>
                <w:vertAlign w:val="superscript"/>
                <w:lang w:val="en-US" w:eastAsia="zh-CN"/>
              </w:rPr>
              <w:t>3</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超标情况</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未超标</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未超标</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未超标</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未超标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排放量</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0.166kg/h</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0.878kg/h</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0.395kg/h</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排放标准</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GB9078-1996《工业窑炉大气污染物排放标准》中的干燥炉</w:t>
            </w:r>
          </w:p>
        </w:tc>
        <w:tc>
          <w:tcPr>
            <w:tcW w:w="1704" w:type="dxa"/>
          </w:tcPr>
          <w:p>
            <w:pPr>
              <w:numPr>
                <w:numId w:val="0"/>
              </w:numPr>
              <w:jc w:val="center"/>
              <w:rPr>
                <w:rFonts w:hint="eastAsia"/>
                <w:b w:val="0"/>
                <w:bCs w:val="0"/>
                <w:sz w:val="18"/>
                <w:szCs w:val="18"/>
                <w:vertAlign w:val="baseline"/>
                <w:lang w:val="en-US" w:eastAsia="zh-CN"/>
              </w:rPr>
            </w:pPr>
            <w:r>
              <w:rPr>
                <w:rFonts w:hint="eastAsia"/>
                <w:b w:val="0"/>
                <w:bCs w:val="0"/>
                <w:sz w:val="18"/>
                <w:szCs w:val="18"/>
                <w:vertAlign w:val="baseline"/>
                <w:lang w:val="en-US" w:eastAsia="zh-CN"/>
              </w:rPr>
              <w:t>GB9078-1996《工业窑炉大气污染物排放标准》中的干燥炉</w:t>
            </w:r>
          </w:p>
        </w:tc>
        <w:tc>
          <w:tcPr>
            <w:tcW w:w="1705" w:type="dxa"/>
          </w:tcPr>
          <w:p>
            <w:pPr>
              <w:numPr>
                <w:numId w:val="0"/>
              </w:numPr>
              <w:jc w:val="center"/>
              <w:rPr>
                <w:rFonts w:hint="eastAsia"/>
                <w:b w:val="0"/>
                <w:bCs w:val="0"/>
                <w:sz w:val="18"/>
                <w:szCs w:val="18"/>
                <w:vertAlign w:val="baseline"/>
                <w:lang w:val="en-US" w:eastAsia="zh-CN"/>
              </w:rPr>
            </w:pPr>
            <w:r>
              <w:rPr>
                <w:rFonts w:hint="eastAsia"/>
                <w:b w:val="0"/>
                <w:bCs w:val="0"/>
                <w:sz w:val="18"/>
                <w:szCs w:val="18"/>
                <w:vertAlign w:val="baseline"/>
                <w:lang w:val="en-US" w:eastAsia="zh-CN"/>
              </w:rPr>
              <w:t>GB9078-1996《工业窑炉大气污染物排放标准》中的干燥炉</w:t>
            </w:r>
          </w:p>
        </w:tc>
        <w:tc>
          <w:tcPr>
            <w:tcW w:w="1705" w:type="dxa"/>
          </w:tcPr>
          <w:p>
            <w:pPr>
              <w:numPr>
                <w:numId w:val="0"/>
              </w:numPr>
              <w:jc w:val="center"/>
              <w:rPr>
                <w:rFonts w:hint="eastAsia"/>
                <w:b w:val="0"/>
                <w:bCs w:val="0"/>
                <w:sz w:val="18"/>
                <w:szCs w:val="18"/>
                <w:vertAlign w:val="baseline"/>
                <w:lang w:val="en-US" w:eastAsia="zh-CN"/>
              </w:rPr>
            </w:pPr>
            <w:r>
              <w:rPr>
                <w:rFonts w:hint="eastAsia"/>
                <w:b w:val="0"/>
                <w:bCs w:val="0"/>
                <w:sz w:val="18"/>
                <w:szCs w:val="18"/>
                <w:vertAlign w:val="baseline"/>
                <w:lang w:val="en-US" w:eastAsia="zh-CN"/>
              </w:rPr>
              <w:t>GB9078-1996《工业窑炉大气污染物排放标准》中的干燥炉</w:t>
            </w:r>
          </w:p>
        </w:tc>
      </w:tr>
    </w:tbl>
    <w:p>
      <w:pPr>
        <w:numPr>
          <w:numId w:val="0"/>
        </w:numPr>
        <w:ind w:leftChars="0"/>
        <w:rPr>
          <w:rFonts w:hint="default"/>
          <w:b w:val="0"/>
          <w:bCs w:val="0"/>
          <w:sz w:val="18"/>
          <w:szCs w:val="18"/>
          <w:lang w:val="en-US" w:eastAsia="zh-CN"/>
        </w:rPr>
      </w:pPr>
    </w:p>
    <w:p>
      <w:pPr>
        <w:numPr>
          <w:ilvl w:val="0"/>
          <w:numId w:val="0"/>
        </w:numPr>
        <w:ind w:leftChars="0"/>
        <w:rPr>
          <w:rFonts w:hint="default"/>
          <w:b w:val="0"/>
          <w:bCs w:val="0"/>
          <w:sz w:val="32"/>
          <w:szCs w:val="32"/>
          <w:lang w:val="en-US" w:eastAsia="zh-CN"/>
        </w:rPr>
      </w:pPr>
      <w:r>
        <w:rPr>
          <w:rFonts w:hint="eastAsia"/>
          <w:b w:val="0"/>
          <w:bCs w:val="0"/>
          <w:sz w:val="32"/>
          <w:szCs w:val="32"/>
          <w:lang w:val="en-US" w:eastAsia="zh-CN"/>
        </w:rPr>
        <w:t>三、防治污染设施的建设和运行情况；</w:t>
      </w:r>
    </w:p>
    <w:p>
      <w:pPr>
        <w:numPr>
          <w:ilvl w:val="0"/>
          <w:numId w:val="2"/>
        </w:numPr>
        <w:ind w:left="320" w:leftChars="0" w:firstLine="0" w:firstLineChars="0"/>
        <w:rPr>
          <w:rFonts w:hint="default"/>
          <w:b w:val="0"/>
          <w:bCs w:val="0"/>
          <w:sz w:val="32"/>
          <w:szCs w:val="32"/>
          <w:lang w:val="en-US" w:eastAsia="zh-CN"/>
        </w:rPr>
      </w:pPr>
      <w:r>
        <w:rPr>
          <w:rFonts w:hint="eastAsia"/>
          <w:b w:val="0"/>
          <w:bCs w:val="0"/>
          <w:sz w:val="32"/>
          <w:szCs w:val="32"/>
          <w:lang w:val="en-US" w:eastAsia="zh-CN"/>
        </w:rPr>
        <w:t>矿井水采用水利循环澄清—重力式无阀门过滤处理技术，回用于生活、生产各环节。</w:t>
      </w:r>
    </w:p>
    <w:p>
      <w:pPr>
        <w:numPr>
          <w:ilvl w:val="0"/>
          <w:numId w:val="2"/>
        </w:numPr>
        <w:ind w:left="320" w:leftChars="0" w:firstLine="0" w:firstLineChars="0"/>
        <w:rPr>
          <w:rFonts w:hint="default"/>
          <w:b w:val="0"/>
          <w:bCs w:val="0"/>
          <w:sz w:val="32"/>
          <w:szCs w:val="32"/>
          <w:lang w:val="en-US" w:eastAsia="zh-CN"/>
        </w:rPr>
      </w:pPr>
      <w:r>
        <w:rPr>
          <w:rFonts w:hint="eastAsia"/>
          <w:b w:val="0"/>
          <w:bCs w:val="0"/>
          <w:sz w:val="32"/>
          <w:szCs w:val="32"/>
          <w:lang w:val="en-US" w:eastAsia="zh-CN"/>
        </w:rPr>
        <w:t>生活污水通过污水站和中水回用系统，将污水处理站出水处理站出水进一步处理后，回用于洗煤、绿化和冲厕等。</w:t>
      </w:r>
    </w:p>
    <w:p>
      <w:pPr>
        <w:numPr>
          <w:ilvl w:val="0"/>
          <w:numId w:val="2"/>
        </w:numPr>
        <w:ind w:left="320" w:leftChars="0" w:firstLine="0" w:firstLineChars="0"/>
        <w:rPr>
          <w:rFonts w:hint="default"/>
          <w:b w:val="0"/>
          <w:bCs w:val="0"/>
          <w:sz w:val="32"/>
          <w:szCs w:val="32"/>
          <w:lang w:val="en-US" w:eastAsia="zh-CN"/>
        </w:rPr>
      </w:pPr>
      <w:r>
        <w:rPr>
          <w:rFonts w:hint="eastAsia"/>
          <w:b w:val="0"/>
          <w:bCs w:val="0"/>
          <w:sz w:val="32"/>
          <w:szCs w:val="32"/>
          <w:lang w:val="en-US" w:eastAsia="zh-CN"/>
        </w:rPr>
        <w:t>矸石堆设有防尘网。</w:t>
      </w:r>
    </w:p>
    <w:p>
      <w:pPr>
        <w:numPr>
          <w:ilvl w:val="0"/>
          <w:numId w:val="2"/>
        </w:numPr>
        <w:ind w:left="320" w:leftChars="0" w:firstLine="0" w:firstLineChars="0"/>
        <w:rPr>
          <w:rFonts w:hint="default"/>
          <w:b w:val="0"/>
          <w:bCs w:val="0"/>
          <w:sz w:val="32"/>
          <w:szCs w:val="32"/>
          <w:lang w:val="en-US" w:eastAsia="zh-CN"/>
        </w:rPr>
      </w:pPr>
      <w:r>
        <w:rPr>
          <w:rFonts w:hint="eastAsia"/>
          <w:b w:val="0"/>
          <w:bCs w:val="0"/>
          <w:sz w:val="32"/>
          <w:szCs w:val="32"/>
          <w:lang w:val="en-US" w:eastAsia="zh-CN"/>
        </w:rPr>
        <w:t>运输采用封闭式车辆进行运输，防止扬尘污染。铁路运输采取抑尘措施，并设有抑尘站。</w:t>
      </w:r>
    </w:p>
    <w:p>
      <w:pPr>
        <w:numPr>
          <w:ilvl w:val="0"/>
          <w:numId w:val="0"/>
        </w:numPr>
        <w:ind w:leftChars="0"/>
        <w:rPr>
          <w:rFonts w:hint="eastAsia"/>
          <w:b w:val="0"/>
          <w:bCs w:val="0"/>
          <w:sz w:val="32"/>
          <w:szCs w:val="32"/>
          <w:lang w:val="en-US" w:eastAsia="zh-CN"/>
        </w:rPr>
      </w:pPr>
      <w:r>
        <w:rPr>
          <w:rFonts w:hint="eastAsia"/>
          <w:b w:val="0"/>
          <w:bCs w:val="0"/>
          <w:sz w:val="32"/>
          <w:szCs w:val="32"/>
          <w:lang w:val="en-US" w:eastAsia="zh-CN"/>
        </w:rPr>
        <w:t>四、建设项目环境影响评价及其他环境保护执行许可情况；</w:t>
      </w:r>
    </w:p>
    <w:p>
      <w:pPr>
        <w:numPr>
          <w:ilvl w:val="0"/>
          <w:numId w:val="3"/>
        </w:numPr>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吉林省环境保护厅文件《关于吉林省龙家堡矿业有限责任公司龙家堡煤矿建设项目环境影响报告书的批复》（吉环建字【</w:t>
      </w:r>
      <w:r>
        <w:rPr>
          <w:rFonts w:hint="eastAsia" w:asciiTheme="minorEastAsia" w:hAnsiTheme="minorEastAsia" w:cstheme="minorEastAsia"/>
          <w:sz w:val="32"/>
          <w:szCs w:val="32"/>
          <w:lang w:val="en-US" w:eastAsia="zh-CN"/>
        </w:rPr>
        <w:t>2005</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128号</w:t>
      </w:r>
      <w:r>
        <w:rPr>
          <w:rFonts w:hint="eastAsia" w:asciiTheme="minorEastAsia" w:hAnsiTheme="minorEastAsia" w:cstheme="minorEastAsia"/>
          <w:sz w:val="32"/>
          <w:szCs w:val="32"/>
          <w:lang w:eastAsia="zh-CN"/>
        </w:rPr>
        <w:t>）</w:t>
      </w:r>
    </w:p>
    <w:p>
      <w:pPr>
        <w:numPr>
          <w:ilvl w:val="0"/>
          <w:numId w:val="3"/>
        </w:numPr>
        <w:rPr>
          <w:rFonts w:hint="default"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吉林省环境保护局文件《关于龙家堡矿业有限责任公司龙家堡煤矿年产300万t煤炭扩建项目环境影响报告书的批复》（吉环审字【2009】1278号）</w:t>
      </w:r>
    </w:p>
    <w:p>
      <w:pPr>
        <w:numPr>
          <w:ilvl w:val="0"/>
          <w:numId w:val="3"/>
        </w:numPr>
        <w:rPr>
          <w:rFonts w:hint="default"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吉林省生态环境厅文件《吉林省环境保护厅关于吉林省龙家堡矿业有限责任公司矿井通风系统改造项目环境影响报告书的批复》（吉环审字【2018】65号）</w:t>
      </w:r>
    </w:p>
    <w:p>
      <w:pPr>
        <w:numPr>
          <w:ilvl w:val="0"/>
          <w:numId w:val="0"/>
        </w:numPr>
        <w:ind w:leftChars="0"/>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五、突发环境事件应急预案</w:t>
      </w:r>
    </w:p>
    <w:p>
      <w:pPr>
        <w:numPr>
          <w:ilvl w:val="0"/>
          <w:numId w:val="0"/>
        </w:numPr>
        <w:ind w:leftChars="0"/>
        <w:rPr>
          <w:rFonts w:hint="default"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 xml:space="preserve">    吉林省龙家堡矿业有限责任公司制定了环境突发事件应急预案目前已备案，并定期开展环境突发事件应急演练。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158122"/>
    <w:multiLevelType w:val="singleLevel"/>
    <w:tmpl w:val="B6158122"/>
    <w:lvl w:ilvl="0" w:tentative="0">
      <w:start w:val="1"/>
      <w:numFmt w:val="chineseCounting"/>
      <w:suff w:val="nothing"/>
      <w:lvlText w:val="（%1）"/>
      <w:lvlJc w:val="left"/>
      <w:pPr>
        <w:ind w:left="320" w:leftChars="0" w:firstLine="0" w:firstLineChars="0"/>
      </w:pPr>
      <w:rPr>
        <w:rFonts w:hint="eastAsia"/>
      </w:rPr>
    </w:lvl>
  </w:abstractNum>
  <w:abstractNum w:abstractNumId="1">
    <w:nsid w:val="0001D600"/>
    <w:multiLevelType w:val="singleLevel"/>
    <w:tmpl w:val="0001D600"/>
    <w:lvl w:ilvl="0" w:tentative="0">
      <w:start w:val="1"/>
      <w:numFmt w:val="chineseCounting"/>
      <w:suff w:val="nothing"/>
      <w:lvlText w:val="%1、"/>
      <w:lvlJc w:val="left"/>
      <w:rPr>
        <w:rFonts w:hint="eastAsia"/>
      </w:rPr>
    </w:lvl>
  </w:abstractNum>
  <w:abstractNum w:abstractNumId="2">
    <w:nsid w:val="4E9796C7"/>
    <w:multiLevelType w:val="singleLevel"/>
    <w:tmpl w:val="4E9796C7"/>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C6AC3"/>
    <w:rsid w:val="06023339"/>
    <w:rsid w:val="076C6AC3"/>
    <w:rsid w:val="090311CB"/>
    <w:rsid w:val="0CF958EB"/>
    <w:rsid w:val="0D1843B2"/>
    <w:rsid w:val="0FC75ADB"/>
    <w:rsid w:val="1542646A"/>
    <w:rsid w:val="16D5547C"/>
    <w:rsid w:val="1CF2169F"/>
    <w:rsid w:val="1E2A5A77"/>
    <w:rsid w:val="26385664"/>
    <w:rsid w:val="302868E4"/>
    <w:rsid w:val="348360D9"/>
    <w:rsid w:val="3AD422B4"/>
    <w:rsid w:val="446C1B91"/>
    <w:rsid w:val="4FD221F1"/>
    <w:rsid w:val="51AD239A"/>
    <w:rsid w:val="59582ABE"/>
    <w:rsid w:val="5A856864"/>
    <w:rsid w:val="5D3C5586"/>
    <w:rsid w:val="6B9A1688"/>
    <w:rsid w:val="77F81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2020-09-11T00:15:00Z</dcterms:created>
  <dc:creator>Administrator</dc:creator>
  <cp:lastModifiedBy>Administrator</cp:lastModifiedBy>
  <dcterms:modified xsi:type="dcterms:W3CDTF">2020-11-14T01:11:51Z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-704215</wp:posOffset>
                </wp:positionH>
                <wp:positionV relativeFrom="paragraph">
                  <wp:posOffset>-323850</wp:posOffset>
                </wp:positionV>
                <wp:extent cx="7359650" cy="861695"/>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7359650" cy="8616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bidi w:val="0"/>
                              <w:jc w:val="center"/>
                              <w:rPr>
                                <w:rFonts w:hint="eastAsia" w:asciiTheme="majorEastAsia" w:hAnsiTheme="majorEastAsia" w:eastAsiaTheme="majorEastAsia" w:cstheme="majorEastAsia"/>
                                <w:b/>
                                <w:bCs/>
                                <w:color w:val="000000" w:themeColor="text1"/>
                                <w:sz w:val="36"/>
                                <w:szCs w:val="36"/>
                                <w:u w:val="single"/>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u w:val="single"/>
                                <w:lang w:eastAsia="zh-CN"/>
                                <w14:shadow w14:blurRad="38100" w14:dist="19050" w14:dir="2700000" w14:sx="100000" w14:sy="100000" w14:kx="0" w14:ky="0" w14:algn="tl">
                                  <w14:schemeClr w14:val="dk1">
                                    <w14:alpha w14:val="60000"/>
                                  </w14:schemeClr>
                                </w14:shadow>
                                <w14:textFill>
                                  <w14:solidFill>
                                    <w14:schemeClr w14:val="tx1"/>
                                  </w14:solidFill>
                                </w14:textFill>
                              </w:rPr>
                              <w:t>吉林省龙家堡矿业有限责任公司环境信息公开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45pt;margin-top:-25.5pt;height:67.85pt;width:579.5pt;mso-wrap-distance-bottom:0pt;mso-wrap-distance-left:9pt;mso-wrap-distance-right:9pt;mso-wrap-distance-top:0pt;z-index:251658240;mso-width-relative:page;mso-height-relative:page;" filled="f" stroked="f" coordsize="21600,21600" o:gfxdata="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ZxRC&#10;b9wAAAAMAQAADwAAAAAAAAABACAAAAAiAAAAZHJzL2Rvd25yZXYueG1sUEsBAhQAFAAAAAgAh07i&#10;QL4+BOQeAgAAGAQAAA4AAAAAAAAAAQAgAAAAKwEAAGRycy9lMm9Eb2MueG1sUEsFBgAAAAAGAAYA&#10;WQEAALsFAAAAAA==&#10;">
                <v:fill on="f" focussize="0,0"/>
                <v:stroke on="f" weight="0.5pt"/>
                <v:imagedata o:title=""/>
                <o:lock v:ext="edit" aspectratio="f"/>
                <v:textbox>
                  <w:txbxContent>
                    <w:p>
                      <w:pPr>
                        <w:pStyle w:val="3"/>
                        <w:bidi w:val="0"/>
                        <w:jc w:val="center"/>
                        <w:rPr>
                          <w:rFonts w:hint="eastAsia" w:asciiTheme="majorEastAsia" w:hAnsiTheme="majorEastAsia" w:eastAsiaTheme="majorEastAsia" w:cstheme="majorEastAsia"/>
                          <w:b/>
                          <w:bCs/>
                          <w:color w:val="000000" w:themeColor="text1"/>
                          <w:sz w:val="36"/>
                          <w:szCs w:val="36"/>
                          <w:u w:val="single"/>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u w:val="single"/>
                          <w:lang w:eastAsia="zh-CN"/>
                          <w14:shadow w14:blurRad="38100" w14:dist="19050" w14:dir="2700000" w14:sx="100000" w14:sy="100000" w14:kx="0" w14:ky="0" w14:algn="tl">
                            <w14:schemeClr w14:val="dk1">
                              <w14:alpha w14:val="60000"/>
                            </w14:schemeClr>
                          </w14:shadow>
                          <w14:textFill>
                            <w14:solidFill>
                              <w14:schemeClr w14:val="tx1"/>
                            </w14:solidFill>
                          </w14:textFill>
                        </w:rPr>
                        <w:t>吉林省龙家堡矿业有限责任公司环境信息公开</w:t>
                      </w:r>
                    </w:p>
                  </w:txbxContent>
                </v:textbox>
                <w10:wrap type="square"/>
              </v:shape>
            </w:pict>
          </mc:Fallback>
        </mc:AlternateContent>
      </w:r>
      <w:r>
        <w:rPr>
          <w:rFonts w:hint="eastAsia"/>
          <w:lang w:val="en-US" w:eastAsia="zh-CN"/>
        </w:rPr>
        <w:t xml:space="preserve">                                        作者：    发布时间：2020年9月13日</w:t>
      </w:r>
    </w:p>
    <w:p>
      <w:pPr>
        <w:numPr>
          <w:ilvl w:val="0"/>
          <w:numId w:val="1"/>
        </w:numPr>
        <w:rPr>
          <w:rFonts w:hint="eastAsia"/>
          <w:b w:val="0"/>
          <w:bCs w:val="0"/>
          <w:sz w:val="32"/>
          <w:szCs w:val="32"/>
          <w:lang w:val="en-US" w:eastAsia="zh-CN"/>
        </w:rPr>
      </w:pPr>
      <w:r>
        <w:rPr>
          <w:rFonts w:hint="eastAsia"/>
          <w:b w:val="0"/>
          <w:bCs w:val="0"/>
          <w:sz w:val="32"/>
          <w:szCs w:val="32"/>
          <w:lang w:val="en-US" w:eastAsia="zh-CN"/>
        </w:rPr>
        <w:t>基础信息</w:t>
      </w:r>
    </w:p>
    <w:p>
      <w:pPr>
        <w:numPr>
          <w:ilvl w:val="0"/>
          <w:numId w:val="0"/>
        </w:numPr>
        <w:rPr>
          <w:rFonts w:hint="eastAsia"/>
          <w:b w:val="0"/>
          <w:bCs w:val="0"/>
          <w:sz w:val="32"/>
          <w:szCs w:val="32"/>
          <w:lang w:val="en-US" w:eastAsia="zh-CN"/>
        </w:rPr>
      </w:pPr>
      <w:r>
        <w:rPr>
          <w:rFonts w:hint="eastAsia"/>
          <w:b w:val="0"/>
          <w:bCs w:val="0"/>
          <w:sz w:val="32"/>
          <w:szCs w:val="32"/>
          <w:lang w:val="en-US" w:eastAsia="zh-CN"/>
        </w:rPr>
        <w:t>单位名称：吉林省龙家堡矿业有限责任公司</w:t>
      </w:r>
    </w:p>
    <w:p>
      <w:pPr>
        <w:numPr>
          <w:ilvl w:val="0"/>
          <w:numId w:val="0"/>
        </w:numPr>
        <w:rPr>
          <w:rFonts w:hint="default"/>
          <w:b w:val="0"/>
          <w:bCs w:val="0"/>
          <w:sz w:val="32"/>
          <w:szCs w:val="32"/>
          <w:lang w:val="en-US" w:eastAsia="zh-CN"/>
        </w:rPr>
      </w:pPr>
      <w:r>
        <w:rPr>
          <w:rFonts w:hint="eastAsia"/>
          <w:b w:val="0"/>
          <w:bCs w:val="0"/>
          <w:sz w:val="32"/>
          <w:szCs w:val="32"/>
          <w:lang w:val="en-US" w:eastAsia="zh-CN"/>
        </w:rPr>
        <w:t>统一社会信用代码：912201817671857766</w:t>
      </w:r>
    </w:p>
    <w:p>
      <w:pPr>
        <w:numPr>
          <w:ilvl w:val="0"/>
          <w:numId w:val="0"/>
        </w:numPr>
        <w:rPr>
          <w:rFonts w:hint="eastAsia"/>
          <w:b w:val="0"/>
          <w:bCs w:val="0"/>
          <w:sz w:val="32"/>
          <w:szCs w:val="32"/>
          <w:lang w:val="en-US" w:eastAsia="zh-CN"/>
        </w:rPr>
      </w:pPr>
      <w:r>
        <w:rPr>
          <w:rFonts w:hint="eastAsia"/>
          <w:b w:val="0"/>
          <w:bCs w:val="0"/>
          <w:sz w:val="32"/>
          <w:szCs w:val="32"/>
          <w:lang w:val="en-US" w:eastAsia="zh-CN"/>
        </w:rPr>
        <w:t>法定代表人：曲世波</w:t>
      </w:r>
    </w:p>
    <w:p>
      <w:pPr>
        <w:numPr>
          <w:ilvl w:val="0"/>
          <w:numId w:val="0"/>
        </w:numPr>
        <w:rPr>
          <w:rFonts w:hint="default"/>
          <w:b w:val="0"/>
          <w:bCs w:val="0"/>
          <w:sz w:val="32"/>
          <w:szCs w:val="32"/>
          <w:lang w:val="en-US" w:eastAsia="zh-CN"/>
        </w:rPr>
      </w:pPr>
      <w:r>
        <w:rPr>
          <w:rFonts w:hint="eastAsia"/>
          <w:b w:val="0"/>
          <w:bCs w:val="0"/>
          <w:sz w:val="32"/>
          <w:szCs w:val="32"/>
          <w:lang w:val="en-US" w:eastAsia="zh-CN"/>
        </w:rPr>
        <w:t>地      址：吉林省长春市新区空港经济开发区兴港街道四家子村</w:t>
      </w:r>
    </w:p>
    <w:p>
      <w:pPr>
        <w:numPr>
          <w:ilvl w:val="0"/>
          <w:numId w:val="0"/>
        </w:numPr>
        <w:rPr>
          <w:rFonts w:hint="default"/>
          <w:b w:val="0"/>
          <w:bCs w:val="0"/>
          <w:sz w:val="32"/>
          <w:szCs w:val="32"/>
          <w:lang w:val="en-US" w:eastAsia="zh-CN"/>
        </w:rPr>
      </w:pPr>
      <w:r>
        <w:rPr>
          <w:rFonts w:hint="eastAsia"/>
          <w:b w:val="0"/>
          <w:bCs w:val="0"/>
          <w:sz w:val="32"/>
          <w:szCs w:val="32"/>
          <w:lang w:val="en-US" w:eastAsia="zh-CN"/>
        </w:rPr>
        <w:t>成 立 日期：2005年05月20日</w:t>
      </w:r>
    </w:p>
    <w:p>
      <w:pPr>
        <w:numPr>
          <w:ilvl w:val="0"/>
          <w:numId w:val="0"/>
        </w:numPr>
        <w:rPr>
          <w:rFonts w:hint="eastAsia"/>
          <w:b w:val="0"/>
          <w:bCs w:val="0"/>
          <w:sz w:val="32"/>
          <w:szCs w:val="32"/>
          <w:lang w:val="en-US" w:eastAsia="zh-CN"/>
        </w:rPr>
      </w:pPr>
      <w:r>
        <w:rPr>
          <w:rFonts w:hint="eastAsia"/>
          <w:b w:val="0"/>
          <w:bCs w:val="0"/>
          <w:sz w:val="32"/>
          <w:szCs w:val="32"/>
          <w:lang w:val="en-US" w:eastAsia="zh-CN"/>
        </w:rPr>
        <w:t>类      型：有限责任公司（非自然人投资或控股人独资）</w:t>
      </w:r>
    </w:p>
    <w:p>
      <w:pPr>
        <w:numPr>
          <w:ilvl w:val="0"/>
          <w:numId w:val="0"/>
        </w:numPr>
        <w:ind w:left="1920" w:hanging="1920" w:hangingChars="600"/>
        <w:rPr>
          <w:rFonts w:hint="eastAsia"/>
          <w:b w:val="0"/>
          <w:bCs w:val="0"/>
          <w:sz w:val="32"/>
          <w:szCs w:val="32"/>
          <w:lang w:val="en-US" w:eastAsia="zh-CN"/>
        </w:rPr>
      </w:pPr>
      <w:r>
        <w:rPr>
          <w:rFonts w:hint="eastAsia"/>
          <w:b w:val="0"/>
          <w:bCs w:val="0"/>
          <w:sz w:val="32"/>
          <w:szCs w:val="32"/>
          <w:lang w:val="en-US" w:eastAsia="zh-CN"/>
        </w:rPr>
        <w:t>注册  资本：伍仟万元整</w:t>
      </w:r>
    </w:p>
    <w:p>
      <w:pPr>
        <w:numPr>
          <w:ilvl w:val="0"/>
          <w:numId w:val="0"/>
        </w:numPr>
        <w:rPr>
          <w:rFonts w:hint="eastAsia"/>
          <w:b w:val="0"/>
          <w:bCs w:val="0"/>
          <w:sz w:val="32"/>
          <w:szCs w:val="32"/>
          <w:lang w:val="en-US" w:eastAsia="zh-CN"/>
        </w:rPr>
      </w:pPr>
      <w:r>
        <w:rPr>
          <w:rFonts w:hint="eastAsia"/>
          <w:b w:val="0"/>
          <w:bCs w:val="0"/>
          <w:sz w:val="32"/>
          <w:szCs w:val="32"/>
          <w:lang w:val="en-US" w:eastAsia="zh-CN"/>
        </w:rPr>
        <w:t>经 营 范围：煤炭开采、加工、销售、企业内专营铁路运输</w:t>
      </w:r>
    </w:p>
    <w:p>
      <w:pPr>
        <w:numPr>
          <w:ilvl w:val="0"/>
          <w:numId w:val="0"/>
        </w:numPr>
        <w:ind w:left="1920" w:hanging="1920" w:hangingChars="600"/>
        <w:rPr>
          <w:rFonts w:hint="default"/>
          <w:b w:val="0"/>
          <w:bCs w:val="0"/>
          <w:sz w:val="32"/>
          <w:szCs w:val="32"/>
          <w:lang w:val="en-US" w:eastAsia="zh-CN"/>
        </w:rPr>
      </w:pPr>
      <w:r>
        <w:rPr>
          <w:rFonts w:hint="eastAsia"/>
          <w:b w:val="0"/>
          <w:bCs w:val="0"/>
          <w:sz w:val="32"/>
          <w:szCs w:val="32"/>
          <w:lang w:val="en-US" w:eastAsia="zh-CN"/>
        </w:rPr>
        <w:t xml:space="preserve">           （按许可证核定的范围和期限经营）钢材、焦炭经营</w:t>
      </w:r>
    </w:p>
    <w:p>
      <w:pPr>
        <w:numPr>
          <w:ilvl w:val="0"/>
          <w:numId w:val="1"/>
        </w:numPr>
        <w:ind w:left="0" w:leftChars="0" w:firstLine="0" w:firstLineChars="0"/>
        <w:rPr>
          <w:rFonts w:hint="eastAsia"/>
          <w:b w:val="0"/>
          <w:bCs w:val="0"/>
          <w:sz w:val="32"/>
          <w:szCs w:val="32"/>
          <w:lang w:val="en-US" w:eastAsia="zh-CN"/>
        </w:rPr>
      </w:pPr>
      <w:r>
        <w:rPr>
          <w:rFonts w:hint="eastAsia"/>
          <w:b w:val="0"/>
          <w:bCs w:val="0"/>
          <w:sz w:val="32"/>
          <w:szCs w:val="32"/>
          <w:lang w:val="en-US" w:eastAsia="zh-CN"/>
        </w:rPr>
        <w:t>排污信息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污染物名称</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锅炉烟尘</w:t>
            </w:r>
          </w:p>
        </w:tc>
        <w:tc>
          <w:tcPr>
            <w:tcW w:w="1704" w:type="dxa"/>
          </w:tcPr>
          <w:p>
            <w:pPr>
              <w:numPr>
                <w:numId w:val="0"/>
              </w:numPr>
              <w:ind w:firstLine="360" w:firstLineChars="200"/>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NOX</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二氧化硫</w:t>
            </w:r>
          </w:p>
        </w:tc>
        <w:tc>
          <w:tcPr>
            <w:tcW w:w="1705" w:type="dxa"/>
          </w:tcPr>
          <w:p>
            <w:pPr>
              <w:numPr>
                <w:numId w:val="0"/>
              </w:numPr>
              <w:ind w:firstLine="360" w:firstLineChars="200"/>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排放方式</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经处理达标排放</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经处理达标排放</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经处理达标排放</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经处理达标排放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排放浓度</w:t>
            </w:r>
          </w:p>
        </w:tc>
        <w:tc>
          <w:tcPr>
            <w:tcW w:w="1704" w:type="dxa"/>
          </w:tcPr>
          <w:p>
            <w:pPr>
              <w:numPr>
                <w:numId w:val="0"/>
              </w:numPr>
              <w:jc w:val="center"/>
              <w:rPr>
                <w:rFonts w:hint="default"/>
                <w:b w:val="0"/>
                <w:bCs w:val="0"/>
                <w:sz w:val="18"/>
                <w:szCs w:val="18"/>
                <w:vertAlign w:val="superscript"/>
                <w:lang w:val="en-US" w:eastAsia="zh-CN"/>
              </w:rPr>
            </w:pPr>
            <w:r>
              <w:rPr>
                <w:rFonts w:hint="eastAsia"/>
                <w:b w:val="0"/>
                <w:bCs w:val="0"/>
                <w:sz w:val="18"/>
                <w:szCs w:val="18"/>
                <w:vertAlign w:val="baseline"/>
                <w:lang w:val="en-US" w:eastAsia="zh-CN"/>
              </w:rPr>
              <w:t>20.6mg/m</w:t>
            </w:r>
            <w:r>
              <w:rPr>
                <w:rFonts w:hint="eastAsia"/>
                <w:b w:val="0"/>
                <w:bCs w:val="0"/>
                <w:sz w:val="18"/>
                <w:szCs w:val="18"/>
                <w:vertAlign w:val="superscript"/>
                <w:lang w:val="en-US" w:eastAsia="zh-CN"/>
              </w:rPr>
              <w:t>3</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109mg/m</w:t>
            </w:r>
            <w:r>
              <w:rPr>
                <w:rFonts w:hint="eastAsia"/>
                <w:b w:val="0"/>
                <w:bCs w:val="0"/>
                <w:sz w:val="18"/>
                <w:szCs w:val="18"/>
                <w:vertAlign w:val="superscript"/>
                <w:lang w:val="en-US" w:eastAsia="zh-CN"/>
              </w:rPr>
              <w:t>3</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49mg/m</w:t>
            </w:r>
            <w:r>
              <w:rPr>
                <w:rFonts w:hint="eastAsia"/>
                <w:b w:val="0"/>
                <w:bCs w:val="0"/>
                <w:sz w:val="18"/>
                <w:szCs w:val="18"/>
                <w:vertAlign w:val="superscript"/>
                <w:lang w:val="en-US" w:eastAsia="zh-CN"/>
              </w:rPr>
              <w:t>3</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超标情况</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未超标</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未超标</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未超标</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未超标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排放量</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0.166kg/h</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0.878kg/h</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0.395kg/h</w:t>
            </w:r>
          </w:p>
        </w:tc>
        <w:tc>
          <w:tcPr>
            <w:tcW w:w="1705"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排放标准</w:t>
            </w:r>
          </w:p>
        </w:tc>
        <w:tc>
          <w:tcPr>
            <w:tcW w:w="1704" w:type="dxa"/>
          </w:tcPr>
          <w:p>
            <w:pPr>
              <w:numPr>
                <w:numId w:val="0"/>
              </w:numPr>
              <w:jc w:val="center"/>
              <w:rPr>
                <w:rFonts w:hint="default"/>
                <w:b w:val="0"/>
                <w:bCs w:val="0"/>
                <w:sz w:val="18"/>
                <w:szCs w:val="18"/>
                <w:vertAlign w:val="baseline"/>
                <w:lang w:val="en-US" w:eastAsia="zh-CN"/>
              </w:rPr>
            </w:pPr>
            <w:r>
              <w:rPr>
                <w:rFonts w:hint="eastAsia"/>
                <w:b w:val="0"/>
                <w:bCs w:val="0"/>
                <w:sz w:val="18"/>
                <w:szCs w:val="18"/>
                <w:vertAlign w:val="baseline"/>
                <w:lang w:val="en-US" w:eastAsia="zh-CN"/>
              </w:rPr>
              <w:t>GB9078-1996《工业窑炉大气污染物排放标准》中的干燥炉</w:t>
            </w:r>
          </w:p>
        </w:tc>
        <w:tc>
          <w:tcPr>
            <w:tcW w:w="1704" w:type="dxa"/>
          </w:tcPr>
          <w:p>
            <w:pPr>
              <w:numPr>
                <w:numId w:val="0"/>
              </w:numPr>
              <w:jc w:val="center"/>
              <w:rPr>
                <w:rFonts w:hint="eastAsia"/>
                <w:b w:val="0"/>
                <w:bCs w:val="0"/>
                <w:sz w:val="18"/>
                <w:szCs w:val="18"/>
                <w:vertAlign w:val="baseline"/>
                <w:lang w:val="en-US" w:eastAsia="zh-CN"/>
              </w:rPr>
            </w:pPr>
            <w:r>
              <w:rPr>
                <w:rFonts w:hint="eastAsia"/>
                <w:b w:val="0"/>
                <w:bCs w:val="0"/>
                <w:sz w:val="18"/>
                <w:szCs w:val="18"/>
                <w:vertAlign w:val="baseline"/>
                <w:lang w:val="en-US" w:eastAsia="zh-CN"/>
              </w:rPr>
              <w:t>GB9078-1996《工业窑炉大气污染物排放标准》中的干燥炉</w:t>
            </w:r>
          </w:p>
        </w:tc>
        <w:tc>
          <w:tcPr>
            <w:tcW w:w="1705" w:type="dxa"/>
          </w:tcPr>
          <w:p>
            <w:pPr>
              <w:numPr>
                <w:numId w:val="0"/>
              </w:numPr>
              <w:jc w:val="center"/>
              <w:rPr>
                <w:rFonts w:hint="eastAsia"/>
                <w:b w:val="0"/>
                <w:bCs w:val="0"/>
                <w:sz w:val="18"/>
                <w:szCs w:val="18"/>
                <w:vertAlign w:val="baseline"/>
                <w:lang w:val="en-US" w:eastAsia="zh-CN"/>
              </w:rPr>
            </w:pPr>
            <w:r>
              <w:rPr>
                <w:rFonts w:hint="eastAsia"/>
                <w:b w:val="0"/>
                <w:bCs w:val="0"/>
                <w:sz w:val="18"/>
                <w:szCs w:val="18"/>
                <w:vertAlign w:val="baseline"/>
                <w:lang w:val="en-US" w:eastAsia="zh-CN"/>
              </w:rPr>
              <w:t>GB9078-1996《工业窑炉大气污染物排放标准》中的干燥炉</w:t>
            </w:r>
          </w:p>
        </w:tc>
        <w:tc>
          <w:tcPr>
            <w:tcW w:w="1705" w:type="dxa"/>
          </w:tcPr>
          <w:p>
            <w:pPr>
              <w:numPr>
                <w:numId w:val="0"/>
              </w:numPr>
              <w:jc w:val="center"/>
              <w:rPr>
                <w:rFonts w:hint="eastAsia"/>
                <w:b w:val="0"/>
                <w:bCs w:val="0"/>
                <w:sz w:val="18"/>
                <w:szCs w:val="18"/>
                <w:vertAlign w:val="baseline"/>
                <w:lang w:val="en-US" w:eastAsia="zh-CN"/>
              </w:rPr>
            </w:pPr>
            <w:r>
              <w:rPr>
                <w:rFonts w:hint="eastAsia"/>
                <w:b w:val="0"/>
                <w:bCs w:val="0"/>
                <w:sz w:val="18"/>
                <w:szCs w:val="18"/>
                <w:vertAlign w:val="baseline"/>
                <w:lang w:val="en-US" w:eastAsia="zh-CN"/>
              </w:rPr>
              <w:t>GB9078-1996《工业窑炉大气污染物排放标准》中的干燥炉</w:t>
            </w:r>
          </w:p>
        </w:tc>
      </w:tr>
    </w:tbl>
    <w:p>
      <w:pPr>
        <w:numPr>
          <w:numId w:val="0"/>
        </w:numPr>
        <w:ind w:leftChars="0"/>
        <w:rPr>
          <w:rFonts w:hint="default"/>
          <w:b w:val="0"/>
          <w:bCs w:val="0"/>
          <w:sz w:val="18"/>
          <w:szCs w:val="18"/>
          <w:lang w:val="en-US" w:eastAsia="zh-CN"/>
        </w:rPr>
      </w:pPr>
    </w:p>
    <w:p>
      <w:pPr>
        <w:numPr>
          <w:ilvl w:val="0"/>
          <w:numId w:val="0"/>
        </w:numPr>
        <w:ind w:leftChars="0"/>
        <w:rPr>
          <w:rFonts w:hint="default"/>
          <w:b w:val="0"/>
          <w:bCs w:val="0"/>
          <w:sz w:val="32"/>
          <w:szCs w:val="32"/>
          <w:lang w:val="en-US" w:eastAsia="zh-CN"/>
        </w:rPr>
      </w:pPr>
      <w:r>
        <w:rPr>
          <w:rFonts w:hint="eastAsia"/>
          <w:b w:val="0"/>
          <w:bCs w:val="0"/>
          <w:sz w:val="32"/>
          <w:szCs w:val="32"/>
          <w:lang w:val="en-US" w:eastAsia="zh-CN"/>
        </w:rPr>
        <w:t>三、防治污染设施的建设和运行情况；</w:t>
      </w:r>
    </w:p>
    <w:p>
      <w:pPr>
        <w:numPr>
          <w:ilvl w:val="0"/>
          <w:numId w:val="2"/>
        </w:numPr>
        <w:ind w:left="320" w:leftChars="0" w:firstLine="0" w:firstLineChars="0"/>
        <w:rPr>
          <w:rFonts w:hint="default"/>
          <w:b w:val="0"/>
          <w:bCs w:val="0"/>
          <w:sz w:val="32"/>
          <w:szCs w:val="32"/>
          <w:lang w:val="en-US" w:eastAsia="zh-CN"/>
        </w:rPr>
      </w:pPr>
      <w:r>
        <w:rPr>
          <w:rFonts w:hint="eastAsia"/>
          <w:b w:val="0"/>
          <w:bCs w:val="0"/>
          <w:sz w:val="32"/>
          <w:szCs w:val="32"/>
          <w:lang w:val="en-US" w:eastAsia="zh-CN"/>
        </w:rPr>
        <w:t>矿井水采用水利循环澄清—重力式无阀门过滤处理技术，回用于生活、生产各环节。</w:t>
      </w:r>
    </w:p>
    <w:p>
      <w:pPr>
        <w:numPr>
          <w:ilvl w:val="0"/>
          <w:numId w:val="2"/>
        </w:numPr>
        <w:ind w:left="320" w:leftChars="0" w:firstLine="0" w:firstLineChars="0"/>
        <w:rPr>
          <w:rFonts w:hint="default"/>
          <w:b w:val="0"/>
          <w:bCs w:val="0"/>
          <w:sz w:val="32"/>
          <w:szCs w:val="32"/>
          <w:lang w:val="en-US" w:eastAsia="zh-CN"/>
        </w:rPr>
      </w:pPr>
      <w:r>
        <w:rPr>
          <w:rFonts w:hint="eastAsia"/>
          <w:b w:val="0"/>
          <w:bCs w:val="0"/>
          <w:sz w:val="32"/>
          <w:szCs w:val="32"/>
          <w:lang w:val="en-US" w:eastAsia="zh-CN"/>
        </w:rPr>
        <w:t>生活污水通过污水站和中水回用系统，将污水处理站出水处理站出水进一步处理后，回用于洗煤、绿化和冲厕等。</w:t>
      </w:r>
    </w:p>
    <w:p>
      <w:pPr>
        <w:numPr>
          <w:ilvl w:val="0"/>
          <w:numId w:val="2"/>
        </w:numPr>
        <w:ind w:left="320" w:leftChars="0" w:firstLine="0" w:firstLineChars="0"/>
        <w:rPr>
          <w:rFonts w:hint="default"/>
          <w:b w:val="0"/>
          <w:bCs w:val="0"/>
          <w:sz w:val="32"/>
          <w:szCs w:val="32"/>
          <w:lang w:val="en-US" w:eastAsia="zh-CN"/>
        </w:rPr>
      </w:pPr>
      <w:r>
        <w:rPr>
          <w:rFonts w:hint="eastAsia"/>
          <w:b w:val="0"/>
          <w:bCs w:val="0"/>
          <w:sz w:val="32"/>
          <w:szCs w:val="32"/>
          <w:lang w:val="en-US" w:eastAsia="zh-CN"/>
        </w:rPr>
        <w:t>矸石堆设有防尘网。</w:t>
      </w:r>
    </w:p>
    <w:p>
      <w:pPr>
        <w:numPr>
          <w:ilvl w:val="0"/>
          <w:numId w:val="2"/>
        </w:numPr>
        <w:ind w:left="320" w:leftChars="0" w:firstLine="0" w:firstLineChars="0"/>
        <w:rPr>
          <w:rFonts w:hint="default"/>
          <w:b w:val="0"/>
          <w:bCs w:val="0"/>
          <w:sz w:val="32"/>
          <w:szCs w:val="32"/>
          <w:lang w:val="en-US" w:eastAsia="zh-CN"/>
        </w:rPr>
      </w:pPr>
      <w:r>
        <w:rPr>
          <w:rFonts w:hint="eastAsia"/>
          <w:b w:val="0"/>
          <w:bCs w:val="0"/>
          <w:sz w:val="32"/>
          <w:szCs w:val="32"/>
          <w:lang w:val="en-US" w:eastAsia="zh-CN"/>
        </w:rPr>
        <w:t>运输采用封闭式车辆进行运输，防止扬尘污染。铁路运输采取抑尘措施，并设有抑尘站。</w:t>
      </w:r>
    </w:p>
    <w:p>
      <w:pPr>
        <w:numPr>
          <w:ilvl w:val="0"/>
          <w:numId w:val="0"/>
        </w:numPr>
        <w:ind w:leftChars="0"/>
        <w:rPr>
          <w:rFonts w:hint="eastAsia"/>
          <w:b w:val="0"/>
          <w:bCs w:val="0"/>
          <w:sz w:val="32"/>
          <w:szCs w:val="32"/>
          <w:lang w:val="en-US" w:eastAsia="zh-CN"/>
        </w:rPr>
      </w:pPr>
      <w:r>
        <w:rPr>
          <w:rFonts w:hint="eastAsia"/>
          <w:b w:val="0"/>
          <w:bCs w:val="0"/>
          <w:sz w:val="32"/>
          <w:szCs w:val="32"/>
          <w:lang w:val="en-US" w:eastAsia="zh-CN"/>
        </w:rPr>
        <w:t>四、建设项目环境影响评价及其他环境保护执行许可情况；</w:t>
      </w:r>
    </w:p>
    <w:p>
      <w:pPr>
        <w:numPr>
          <w:ilvl w:val="0"/>
          <w:numId w:val="3"/>
        </w:numPr>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吉林省环境保护厅文件《关于吉林省龙家堡矿业有限责任公司龙家堡煤矿建设项目环境影响报告书的批复》（吉环建字【</w:t>
      </w:r>
      <w:r>
        <w:rPr>
          <w:rFonts w:hint="eastAsia" w:asciiTheme="minorEastAsia" w:hAnsiTheme="minorEastAsia" w:cstheme="minorEastAsia"/>
          <w:sz w:val="32"/>
          <w:szCs w:val="32"/>
          <w:lang w:val="en-US" w:eastAsia="zh-CN"/>
        </w:rPr>
        <w:t>2005</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128号</w:t>
      </w:r>
      <w:r>
        <w:rPr>
          <w:rFonts w:hint="eastAsia" w:asciiTheme="minorEastAsia" w:hAnsiTheme="minorEastAsia" w:cstheme="minorEastAsia"/>
          <w:sz w:val="32"/>
          <w:szCs w:val="32"/>
          <w:lang w:eastAsia="zh-CN"/>
        </w:rPr>
        <w:t>）</w:t>
      </w:r>
    </w:p>
    <w:p>
      <w:pPr>
        <w:numPr>
          <w:ilvl w:val="0"/>
          <w:numId w:val="3"/>
        </w:numPr>
        <w:rPr>
          <w:rFonts w:hint="default"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吉林省环境保护局文件《关于龙家堡矿业有限责任公司龙家堡煤矿年产300万t煤炭扩建项目环境影响报告书的批复》（吉环审字【2009】1278号）</w:t>
      </w:r>
    </w:p>
    <w:p>
      <w:pPr>
        <w:numPr>
          <w:ilvl w:val="0"/>
          <w:numId w:val="3"/>
        </w:numPr>
        <w:rPr>
          <w:rFonts w:hint="default"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吉林省生态环境厅文件《吉林省环境保护厅关于吉林省龙家堡矿业有限责任公司矿井通风系统改造项目环境影响报告书的批复》（吉环审字【2018】65号）</w:t>
      </w:r>
    </w:p>
    <w:p>
      <w:pPr>
        <w:numPr>
          <w:ilvl w:val="0"/>
          <w:numId w:val="0"/>
        </w:numPr>
        <w:ind w:leftChars="0"/>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五、突发环境事件应急预案</w:t>
      </w:r>
    </w:p>
    <w:p>
      <w:pPr>
        <w:numPr>
          <w:ilvl w:val="0"/>
          <w:numId w:val="0"/>
        </w:numPr>
        <w:ind w:leftChars="0"/>
        <w:rPr>
          <w:rFonts w:hint="default"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 xml:space="preserve">    吉林省龙家堡矿业有限责任公司制定了环境突发事件应急预案目前已备案，并定期开展环境突发事件应急演练。</w:t>
      </w:r>
    </w:p>
    <w:sectPr>
      <w:pgSz w:w="11906" w:h="16838"/>
      <w:pgMar w:top="1440" w:right="1800" w:bottom="1440" w:left="1800" w:header="851" w:footer="992" w:gutter="0"/>
      <w:cols w:space="425" w:num="1"/>
      <w:docGrid w:type="lines" w:linePitch="312" w:charSpace="0"/>
    </w:sectPr>
  </w:body>
</w:document>
</file>

<file path=treport/opRecord.xml>p_0(0);
</file>